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r w:rsidR="00894C29">
        <w:rPr>
          <w:rFonts w:ascii="Calibri Light" w:hAnsi="Calibri Light" w:cs="Calibri Light"/>
        </w:rPr>
        <w:t xml:space="preserve">Luis </w:t>
      </w:r>
      <w:proofErr w:type="spellStart"/>
      <w:r w:rsidR="00894C29">
        <w:rPr>
          <w:rFonts w:ascii="Calibri Light" w:hAnsi="Calibri Light" w:cs="Calibri Light"/>
        </w:rPr>
        <w:t>Ribeiro</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894C29" w:rsidRPr="00894C29">
        <w:rPr>
          <w:rFonts w:asciiTheme="majorHAnsi" w:hAnsiTheme="majorHAnsi" w:cstheme="majorHAnsi"/>
        </w:rPr>
        <w:t>luis.ribeiro@tecnico.ulisboa.pt</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proofErr w:type="spellStart"/>
      <w:r w:rsidR="00894C29" w:rsidRPr="00894C29">
        <w:rPr>
          <w:rFonts w:asciiTheme="majorHAnsi" w:hAnsiTheme="majorHAnsi" w:cstheme="majorHAnsi"/>
          <w:color w:val="494A4C"/>
          <w:shd w:val="clear" w:color="auto" w:fill="FFFFFF"/>
        </w:rPr>
        <w:t>Instituto</w:t>
      </w:r>
      <w:proofErr w:type="spellEnd"/>
      <w:r w:rsidR="00894C29" w:rsidRPr="00894C29">
        <w:rPr>
          <w:rFonts w:asciiTheme="majorHAnsi" w:hAnsiTheme="majorHAnsi" w:cstheme="majorHAnsi"/>
          <w:color w:val="494A4C"/>
          <w:shd w:val="clear" w:color="auto" w:fill="FFFFFF"/>
        </w:rPr>
        <w:t xml:space="preserve"> Superior </w:t>
      </w:r>
      <w:proofErr w:type="spellStart"/>
      <w:r w:rsidR="00894C29" w:rsidRPr="00894C29">
        <w:rPr>
          <w:rFonts w:asciiTheme="majorHAnsi" w:hAnsiTheme="majorHAnsi" w:cstheme="majorHAnsi"/>
          <w:color w:val="494A4C"/>
          <w:shd w:val="clear" w:color="auto" w:fill="FFFFFF"/>
        </w:rPr>
        <w:t>Técnico</w:t>
      </w:r>
      <w:proofErr w:type="spellEnd"/>
      <w:r w:rsidR="00894C29" w:rsidRPr="00894C29">
        <w:rPr>
          <w:rFonts w:asciiTheme="majorHAnsi" w:hAnsiTheme="majorHAnsi" w:cstheme="majorHAnsi"/>
          <w:color w:val="494A4C"/>
          <w:shd w:val="clear" w:color="auto" w:fill="FFFFFF"/>
        </w:rPr>
        <w:t xml:space="preserve"> (</w:t>
      </w:r>
      <w:proofErr w:type="spellStart"/>
      <w:r w:rsidR="00894C29" w:rsidRPr="00894C29">
        <w:rPr>
          <w:rFonts w:asciiTheme="majorHAnsi" w:hAnsiTheme="majorHAnsi" w:cstheme="majorHAnsi"/>
          <w:color w:val="494A4C"/>
          <w:shd w:val="clear" w:color="auto" w:fill="FFFFFF"/>
        </w:rPr>
        <w:t>Universidade</w:t>
      </w:r>
      <w:proofErr w:type="spellEnd"/>
      <w:r w:rsidR="00894C29" w:rsidRPr="00894C29">
        <w:rPr>
          <w:rFonts w:asciiTheme="majorHAnsi" w:hAnsiTheme="majorHAnsi" w:cstheme="majorHAnsi"/>
          <w:color w:val="494A4C"/>
          <w:shd w:val="clear" w:color="auto" w:fill="FFFFFF"/>
        </w:rPr>
        <w:t xml:space="preserve"> de </w:t>
      </w:r>
      <w:proofErr w:type="spellStart"/>
      <w:r w:rsidR="00894C29" w:rsidRPr="00894C29">
        <w:rPr>
          <w:rFonts w:asciiTheme="majorHAnsi" w:hAnsiTheme="majorHAnsi" w:cstheme="majorHAnsi"/>
          <w:color w:val="494A4C"/>
          <w:shd w:val="clear" w:color="auto" w:fill="FFFFFF"/>
        </w:rPr>
        <w:t>Lisboa</w:t>
      </w:r>
      <w:proofErr w:type="spellEnd"/>
      <w:r w:rsidR="00894C29" w:rsidRPr="00894C29">
        <w:rPr>
          <w:rFonts w:asciiTheme="majorHAnsi" w:hAnsiTheme="majorHAnsi" w:cstheme="majorHAnsi"/>
          <w:color w:val="494A4C"/>
          <w:shd w:val="clear" w:color="auto" w:fill="FFFFFF"/>
        </w:rPr>
        <w:t>)</w:t>
      </w:r>
    </w:p>
    <w:tbl>
      <w:tblPr>
        <w:tblStyle w:val="TableGrid"/>
        <w:tblW w:w="10916" w:type="dxa"/>
        <w:tblInd w:w="-743" w:type="dxa"/>
        <w:tblLook w:val="04A0"/>
      </w:tblPr>
      <w:tblGrid>
        <w:gridCol w:w="3545"/>
        <w:gridCol w:w="7371"/>
      </w:tblGrid>
      <w:tr w:rsidR="00E610A9" w:rsidTr="00E610A9">
        <w:tc>
          <w:tcPr>
            <w:tcW w:w="3545" w:type="dxa"/>
          </w:tcPr>
          <w:p w:rsidR="00E610A9" w:rsidRDefault="00894C29">
            <w:r w:rsidRPr="00894C29">
              <w:rPr>
                <w:noProof/>
              </w:rPr>
              <w:drawing>
                <wp:inline distT="0" distB="0" distL="0" distR="0">
                  <wp:extent cx="1971675" cy="1971675"/>
                  <wp:effectExtent l="0" t="0" r="9525"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uis ribeiro.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73521" cy="1973521"/>
                          </a:xfrm>
                          <a:prstGeom prst="rect">
                            <a:avLst/>
                          </a:prstGeom>
                        </pic:spPr>
                      </pic:pic>
                    </a:graphicData>
                  </a:graphic>
                </wp:inline>
              </w:drawing>
            </w:r>
          </w:p>
        </w:tc>
        <w:tc>
          <w:tcPr>
            <w:tcW w:w="7371" w:type="dxa"/>
          </w:tcPr>
          <w:p w:rsidR="00894C29" w:rsidRPr="00894C29" w:rsidRDefault="00894C29" w:rsidP="00894C29">
            <w:pPr>
              <w:ind w:right="22"/>
              <w:jc w:val="both"/>
              <w:rPr>
                <w:rFonts w:asciiTheme="majorHAnsi" w:hAnsiTheme="majorHAnsi" w:cstheme="majorHAnsi"/>
                <w:color w:val="494A4C"/>
                <w:shd w:val="clear" w:color="auto" w:fill="FFFFFF"/>
              </w:rPr>
            </w:pPr>
            <w:r w:rsidRPr="00894C29">
              <w:rPr>
                <w:rFonts w:asciiTheme="majorHAnsi" w:hAnsiTheme="majorHAnsi" w:cstheme="majorHAnsi"/>
                <w:color w:val="494A4C"/>
                <w:shd w:val="clear" w:color="auto" w:fill="FFFFFF"/>
              </w:rPr>
              <w:t>Mining Engineer and Associate Professor in IST, University of Lisbon, Portugal, where he is responsible for the disciplines of Hydrogeology and Groundwater.</w:t>
            </w:r>
          </w:p>
          <w:p w:rsidR="00894C29" w:rsidRPr="00894C29" w:rsidRDefault="00894C29" w:rsidP="00894C29">
            <w:pPr>
              <w:ind w:right="22"/>
              <w:jc w:val="both"/>
              <w:rPr>
                <w:rFonts w:asciiTheme="majorHAnsi" w:hAnsiTheme="majorHAnsi" w:cstheme="majorHAnsi"/>
                <w:color w:val="494A4C"/>
                <w:shd w:val="clear" w:color="auto" w:fill="FFFFFF"/>
              </w:rPr>
            </w:pPr>
            <w:r w:rsidRPr="00894C29">
              <w:rPr>
                <w:rFonts w:asciiTheme="majorHAnsi" w:hAnsiTheme="majorHAnsi" w:cstheme="majorHAnsi"/>
                <w:color w:val="494A4C"/>
                <w:shd w:val="clear" w:color="auto" w:fill="FFFFFF"/>
              </w:rPr>
              <w:t xml:space="preserve">He has worked extensively during the past 35 years in the fields of Physical and Chemical Hydrogeology, Groundwater Dependent Ecosystems, Groundwater and Climate Change, Aquifer </w:t>
            </w:r>
            <w:proofErr w:type="spellStart"/>
            <w:r w:rsidRPr="00894C29">
              <w:rPr>
                <w:rFonts w:asciiTheme="majorHAnsi" w:hAnsiTheme="majorHAnsi" w:cstheme="majorHAnsi"/>
                <w:color w:val="494A4C"/>
                <w:shd w:val="clear" w:color="auto" w:fill="FFFFFF"/>
              </w:rPr>
              <w:t>Modelling</w:t>
            </w:r>
            <w:proofErr w:type="spellEnd"/>
            <w:r w:rsidRPr="00894C29">
              <w:rPr>
                <w:rFonts w:asciiTheme="majorHAnsi" w:hAnsiTheme="majorHAnsi" w:cstheme="majorHAnsi"/>
                <w:color w:val="494A4C"/>
                <w:shd w:val="clear" w:color="auto" w:fill="FFFFFF"/>
              </w:rPr>
              <w:t xml:space="preserve">, Stochastic Hydrogeology, </w:t>
            </w:r>
            <w:proofErr w:type="spellStart"/>
            <w:r w:rsidRPr="00894C29">
              <w:rPr>
                <w:rFonts w:asciiTheme="majorHAnsi" w:hAnsiTheme="majorHAnsi" w:cstheme="majorHAnsi"/>
                <w:color w:val="494A4C"/>
                <w:shd w:val="clear" w:color="auto" w:fill="FFFFFF"/>
              </w:rPr>
              <w:t>Geoestatistics</w:t>
            </w:r>
            <w:proofErr w:type="spellEnd"/>
            <w:r w:rsidRPr="00894C29">
              <w:rPr>
                <w:rFonts w:asciiTheme="majorHAnsi" w:hAnsiTheme="majorHAnsi" w:cstheme="majorHAnsi"/>
                <w:color w:val="494A4C"/>
                <w:shd w:val="clear" w:color="auto" w:fill="FFFFFF"/>
              </w:rPr>
              <w:t xml:space="preserve"> and Multivariate Data Analysis.</w:t>
            </w:r>
          </w:p>
          <w:p w:rsidR="00894C29" w:rsidRPr="00894C29" w:rsidRDefault="00894C29" w:rsidP="00894C29">
            <w:pPr>
              <w:ind w:right="22"/>
              <w:jc w:val="both"/>
              <w:rPr>
                <w:rFonts w:asciiTheme="majorHAnsi" w:hAnsiTheme="majorHAnsi" w:cstheme="majorHAnsi"/>
                <w:color w:val="494A4C"/>
                <w:shd w:val="clear" w:color="auto" w:fill="FFFFFF"/>
              </w:rPr>
            </w:pPr>
            <w:r w:rsidRPr="00894C29">
              <w:rPr>
                <w:rFonts w:asciiTheme="majorHAnsi" w:hAnsiTheme="majorHAnsi" w:cstheme="majorHAnsi"/>
                <w:color w:val="494A4C"/>
                <w:shd w:val="clear" w:color="auto" w:fill="FFFFFF"/>
              </w:rPr>
              <w:t xml:space="preserve">Responsible at IST of the ERASMUS+ Master Course: Groundwater and Global Change. Coordinator of more than 30 of national and international research projects in countries such as Peru, Colombia, Ecuador, Chile, Bolivia, Brazil Tunisia and Morocco. </w:t>
            </w:r>
          </w:p>
          <w:p w:rsidR="00894C29" w:rsidRPr="00894C29" w:rsidRDefault="00894C29" w:rsidP="00894C29">
            <w:pPr>
              <w:ind w:right="22"/>
              <w:jc w:val="both"/>
              <w:rPr>
                <w:rFonts w:asciiTheme="majorHAnsi" w:hAnsiTheme="majorHAnsi" w:cstheme="majorHAnsi"/>
                <w:color w:val="494A4C"/>
                <w:shd w:val="clear" w:color="auto" w:fill="FFFFFF"/>
              </w:rPr>
            </w:pPr>
            <w:bookmarkStart w:id="0" w:name="_GoBack"/>
            <w:bookmarkEnd w:id="0"/>
            <w:r w:rsidRPr="00894C29">
              <w:rPr>
                <w:rFonts w:asciiTheme="majorHAnsi" w:hAnsiTheme="majorHAnsi" w:cstheme="majorHAnsi"/>
                <w:color w:val="494A4C"/>
                <w:shd w:val="clear" w:color="auto" w:fill="FFFFFF"/>
              </w:rPr>
              <w:t>Consultant of the National Water and the Water Catchment Plans of Portugal. Consultant of the Groundwater National Plan of Colombia.</w:t>
            </w:r>
          </w:p>
          <w:p w:rsidR="00894C29" w:rsidRPr="00894C29" w:rsidRDefault="00894C29" w:rsidP="00894C29">
            <w:pPr>
              <w:ind w:right="22"/>
              <w:jc w:val="both"/>
              <w:rPr>
                <w:rFonts w:asciiTheme="majorHAnsi" w:hAnsiTheme="majorHAnsi" w:cstheme="majorHAnsi"/>
                <w:color w:val="494A4C"/>
                <w:shd w:val="clear" w:color="auto" w:fill="FFFFFF"/>
              </w:rPr>
            </w:pPr>
            <w:r w:rsidRPr="00894C29">
              <w:rPr>
                <w:rFonts w:asciiTheme="majorHAnsi" w:hAnsiTheme="majorHAnsi" w:cstheme="majorHAnsi"/>
                <w:color w:val="494A4C"/>
                <w:shd w:val="clear" w:color="auto" w:fill="FFFFFF"/>
              </w:rPr>
              <w:t>He is the author or co-author of more than 500 scientific publications and co-editor of the book Groundwater and Ecosystems (IAH Selected Papers series).</w:t>
            </w:r>
          </w:p>
          <w:p w:rsidR="00E610A9" w:rsidRDefault="00894C29" w:rsidP="00894C29">
            <w:pPr>
              <w:jc w:val="both"/>
            </w:pPr>
            <w:r w:rsidRPr="00894C29">
              <w:rPr>
                <w:rFonts w:asciiTheme="majorHAnsi" w:hAnsiTheme="majorHAnsi" w:cstheme="majorHAnsi"/>
                <w:color w:val="494A4C"/>
                <w:shd w:val="clear" w:color="auto" w:fill="FFFFFF"/>
              </w:rPr>
              <w:t xml:space="preserve">International Expert of IAEA. </w:t>
            </w:r>
            <w:proofErr w:type="spellStart"/>
            <w:r w:rsidRPr="00894C29">
              <w:rPr>
                <w:rFonts w:asciiTheme="majorHAnsi" w:hAnsiTheme="majorHAnsi" w:cstheme="majorHAnsi"/>
                <w:color w:val="494A4C"/>
                <w:shd w:val="clear" w:color="auto" w:fill="FFFFFF"/>
              </w:rPr>
              <w:t>Prometeo</w:t>
            </w:r>
            <w:proofErr w:type="spellEnd"/>
            <w:r w:rsidRPr="00894C29">
              <w:rPr>
                <w:rFonts w:asciiTheme="majorHAnsi" w:hAnsiTheme="majorHAnsi" w:cstheme="majorHAnsi"/>
                <w:color w:val="494A4C"/>
                <w:shd w:val="clear" w:color="auto" w:fill="FFFFFF"/>
              </w:rPr>
              <w:t xml:space="preserve"> researcher in ESPOL, Guayaquil, Ecuador (2015)</w:t>
            </w:r>
          </w:p>
        </w:tc>
      </w:tr>
      <w:tr w:rsidR="00E610A9" w:rsidTr="001A4729">
        <w:tc>
          <w:tcPr>
            <w:tcW w:w="10916" w:type="dxa"/>
            <w:gridSpan w:val="2"/>
          </w:tcPr>
          <w:p w:rsidR="00E610A9" w:rsidRDefault="00E610A9" w:rsidP="00E610A9">
            <w:pPr>
              <w:spacing w:after="120" w:line="360" w:lineRule="auto"/>
              <w:ind w:right="902"/>
            </w:pPr>
            <w:r>
              <w:t>References (max. 5 relevant references)</w:t>
            </w:r>
          </w:p>
          <w:p w:rsidR="00894C29" w:rsidRPr="00F46857" w:rsidRDefault="00894C29" w:rsidP="00894C29">
            <w:pPr>
              <w:ind w:left="720" w:hanging="720"/>
              <w:jc w:val="both"/>
              <w:rPr>
                <w:rFonts w:asciiTheme="majorHAnsi" w:hAnsiTheme="majorHAnsi" w:cstheme="majorHAnsi"/>
              </w:rPr>
            </w:pPr>
            <w:r w:rsidRPr="00F46857">
              <w:rPr>
                <w:rFonts w:asciiTheme="majorHAnsi" w:hAnsiTheme="majorHAnsi" w:cstheme="majorHAnsi"/>
              </w:rPr>
              <w:t xml:space="preserve">STIGTER, T.Y., RIBEIRO, L ., CARVALHO DILL, A.M.M., (2006) Evaluation of an intrinsic and a specific vulnerability assessment method in comparison with groundwater </w:t>
            </w:r>
            <w:proofErr w:type="spellStart"/>
            <w:r w:rsidRPr="00F46857">
              <w:rPr>
                <w:rFonts w:asciiTheme="majorHAnsi" w:hAnsiTheme="majorHAnsi" w:cstheme="majorHAnsi"/>
              </w:rPr>
              <w:t>salinisation</w:t>
            </w:r>
            <w:proofErr w:type="spellEnd"/>
            <w:r w:rsidRPr="00F46857">
              <w:rPr>
                <w:rFonts w:asciiTheme="majorHAnsi" w:hAnsiTheme="majorHAnsi" w:cstheme="majorHAnsi"/>
              </w:rPr>
              <w:t xml:space="preserve"> and nitrate contamination levels in two agricultural regions in the south of Portugal, Hydrogeology Journal, Volume 14, Numbers 1-2, 79-99</w:t>
            </w:r>
          </w:p>
          <w:p w:rsidR="00894C29" w:rsidRPr="00F46857" w:rsidRDefault="00894C29" w:rsidP="00894C29">
            <w:pPr>
              <w:ind w:left="720" w:hanging="720"/>
              <w:jc w:val="both"/>
              <w:rPr>
                <w:rFonts w:asciiTheme="majorHAnsi" w:hAnsiTheme="majorHAnsi" w:cstheme="majorHAnsi"/>
              </w:rPr>
            </w:pPr>
            <w:r w:rsidRPr="00F46857">
              <w:rPr>
                <w:rFonts w:asciiTheme="majorHAnsi" w:hAnsiTheme="majorHAnsi" w:cstheme="majorHAnsi"/>
              </w:rPr>
              <w:t xml:space="preserve">STIGTER, T.Y., RIBEIRO, L., DILL, M.M.C., (2008) - Building factorial regression models to explain and predict nitrate concentrations in groundwater under agricultural land, Journal of Hydrology 35, issues 1-2, 42-56. </w:t>
            </w:r>
          </w:p>
          <w:p w:rsidR="00894C29" w:rsidRPr="00F46857" w:rsidRDefault="00894C29" w:rsidP="00894C29">
            <w:pPr>
              <w:ind w:left="720" w:hanging="720"/>
              <w:jc w:val="both"/>
              <w:rPr>
                <w:rFonts w:asciiTheme="majorHAnsi" w:hAnsiTheme="majorHAnsi" w:cstheme="majorHAnsi"/>
              </w:rPr>
            </w:pPr>
            <w:r w:rsidRPr="00F46857">
              <w:rPr>
                <w:rFonts w:asciiTheme="majorHAnsi" w:hAnsiTheme="majorHAnsi" w:cstheme="majorHAnsi"/>
              </w:rPr>
              <w:t xml:space="preserve">MENDES M.P., RIBEIRO L, (2010) Nitrate probability mapping in the northern aquifer alluvial system of the river Tagus (Portugal) using Disjunctive </w:t>
            </w:r>
            <w:proofErr w:type="spellStart"/>
            <w:r w:rsidRPr="00F46857">
              <w:rPr>
                <w:rFonts w:asciiTheme="majorHAnsi" w:hAnsiTheme="majorHAnsi" w:cstheme="majorHAnsi"/>
              </w:rPr>
              <w:t>Kriging</w:t>
            </w:r>
            <w:proofErr w:type="spellEnd"/>
            <w:r w:rsidRPr="00F46857">
              <w:rPr>
                <w:rFonts w:asciiTheme="majorHAnsi" w:hAnsiTheme="majorHAnsi" w:cstheme="majorHAnsi"/>
              </w:rPr>
              <w:t xml:space="preserve">, </w:t>
            </w:r>
            <w:proofErr w:type="spellStart"/>
            <w:r w:rsidRPr="00F46857">
              <w:rPr>
                <w:rFonts w:asciiTheme="majorHAnsi" w:hAnsiTheme="majorHAnsi" w:cstheme="majorHAnsi"/>
              </w:rPr>
              <w:t>Sci</w:t>
            </w:r>
            <w:proofErr w:type="spellEnd"/>
            <w:r w:rsidRPr="00F46857">
              <w:rPr>
                <w:rFonts w:asciiTheme="majorHAnsi" w:hAnsiTheme="majorHAnsi" w:cstheme="majorHAnsi"/>
              </w:rPr>
              <w:t xml:space="preserve"> Total Environ, </w:t>
            </w:r>
            <w:proofErr w:type="spellStart"/>
            <w:r w:rsidRPr="00F46857">
              <w:rPr>
                <w:rFonts w:asciiTheme="majorHAnsi" w:hAnsiTheme="majorHAnsi" w:cstheme="majorHAnsi"/>
              </w:rPr>
              <w:t>vol</w:t>
            </w:r>
            <w:proofErr w:type="spellEnd"/>
            <w:r w:rsidRPr="00F46857">
              <w:rPr>
                <w:rFonts w:asciiTheme="majorHAnsi" w:hAnsiTheme="majorHAnsi" w:cstheme="majorHAnsi"/>
              </w:rPr>
              <w:t xml:space="preserve"> 48 (5) pp.1021-1034</w:t>
            </w:r>
          </w:p>
          <w:p w:rsidR="00894C29" w:rsidRPr="00F46857" w:rsidRDefault="00894C29" w:rsidP="00894C29">
            <w:pPr>
              <w:ind w:left="720" w:hanging="720"/>
              <w:jc w:val="both"/>
              <w:rPr>
                <w:rFonts w:asciiTheme="majorHAnsi" w:hAnsiTheme="majorHAnsi" w:cstheme="majorHAnsi"/>
              </w:rPr>
            </w:pPr>
            <w:r w:rsidRPr="00F46857">
              <w:rPr>
                <w:rFonts w:asciiTheme="majorHAnsi" w:hAnsiTheme="majorHAnsi" w:cstheme="majorHAnsi"/>
              </w:rPr>
              <w:t xml:space="preserve">SILVA E. , MENDES M.P. , RIBEIRO L., CEREJEIRA M.J.( 2011) Exposure assessment of pesticides in a shallow groundwater of the Tagus vulnerable zone (Portugal): a multivariate statistical approach (JCA) in Environmental Science and Pollution Research: </w:t>
            </w:r>
          </w:p>
          <w:p w:rsidR="00E610A9" w:rsidRDefault="00894C29" w:rsidP="00894C29">
            <w:pPr>
              <w:ind w:left="720" w:hanging="720"/>
              <w:jc w:val="both"/>
            </w:pPr>
            <w:r w:rsidRPr="00F46857">
              <w:rPr>
                <w:rFonts w:asciiTheme="majorHAnsi" w:hAnsiTheme="majorHAnsi" w:cstheme="majorHAnsi"/>
              </w:rPr>
              <w:t xml:space="preserve">DUCCI D. CONDESSO DE MELO M.T., PREZIOSI E., SELLERINO M., PARRONE D., RIBEIRO L. (2016) Combining natural background levels (NBLs) assessment with indicator </w:t>
            </w:r>
            <w:proofErr w:type="spellStart"/>
            <w:r w:rsidRPr="00F46857">
              <w:rPr>
                <w:rFonts w:asciiTheme="majorHAnsi" w:hAnsiTheme="majorHAnsi" w:cstheme="majorHAnsi"/>
              </w:rPr>
              <w:t>kriging</w:t>
            </w:r>
            <w:proofErr w:type="spellEnd"/>
            <w:r w:rsidRPr="00F46857">
              <w:rPr>
                <w:rFonts w:asciiTheme="majorHAnsi" w:hAnsiTheme="majorHAnsi" w:cstheme="majorHAnsi"/>
              </w:rPr>
              <w:t xml:space="preserve"> analysis to improve groundwater quality data interpretation and management in Science of The Total Environment Volumes 569–570, 1 pp. 569–584</w:t>
            </w:r>
            <w:r w:rsidRPr="00731591">
              <w:rPr>
                <w:rFonts w:ascii="Times New Roman" w:hAnsi="Times New Roman" w:cs="Times New Roman"/>
                <w:sz w:val="20"/>
                <w:szCs w:val="20"/>
              </w:rPr>
              <w:t xml:space="preserve"> </w:t>
            </w:r>
          </w:p>
        </w:tc>
      </w:tr>
    </w:tbl>
    <w:p w:rsidR="008408D9" w:rsidRDefault="00E06C1A">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6B7" w:rsidRDefault="007E26B7" w:rsidP="00DE55A3">
      <w:pPr>
        <w:spacing w:after="0" w:line="240" w:lineRule="auto"/>
      </w:pPr>
      <w:r>
        <w:separator/>
      </w:r>
    </w:p>
  </w:endnote>
  <w:endnote w:type="continuationSeparator" w:id="0">
    <w:p w:rsidR="007E26B7" w:rsidRDefault="007E26B7"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E06C1A">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E06C1A">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94C2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6B7" w:rsidRDefault="007E26B7" w:rsidP="00DE55A3">
      <w:pPr>
        <w:spacing w:after="0" w:line="240" w:lineRule="auto"/>
      </w:pPr>
      <w:r>
        <w:separator/>
      </w:r>
    </w:p>
  </w:footnote>
  <w:footnote w:type="continuationSeparator" w:id="0">
    <w:p w:rsidR="007E26B7" w:rsidRDefault="007E26B7"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E06C1A">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7504"/>
    <w:rsid w:val="00112CAC"/>
    <w:rsid w:val="00121348"/>
    <w:rsid w:val="00145313"/>
    <w:rsid w:val="00161DA3"/>
    <w:rsid w:val="00174E03"/>
    <w:rsid w:val="00183377"/>
    <w:rsid w:val="00184CE6"/>
    <w:rsid w:val="001A2D8B"/>
    <w:rsid w:val="001A3247"/>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90B6A"/>
    <w:rsid w:val="00894C29"/>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10</cp:revision>
  <cp:lastPrinted>2018-11-09T00:36:00Z</cp:lastPrinted>
  <dcterms:created xsi:type="dcterms:W3CDTF">2018-11-19T22:46:00Z</dcterms:created>
  <dcterms:modified xsi:type="dcterms:W3CDTF">2018-12-16T16:34:00Z</dcterms:modified>
</cp:coreProperties>
</file>